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2-5909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21 октябр</w:t>
      </w:r>
      <w:r>
        <w:rPr>
          <w:rFonts w:ascii="Times New Roman" w:eastAsia="Times New Roman" w:hAnsi="Times New Roman" w:cs="Times New Roman"/>
          <w:sz w:val="26"/>
          <w:szCs w:val="26"/>
        </w:rPr>
        <w:t>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Слесаревой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Т.И., рассмотрев в открытом судебном заседании гражданское дело по иску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Трусову Андрею Анатольевичу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взыскании неосновательного обогащения за пользование земельным участком и процентов за пользование чужими денежными средствами,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Трусову Андрею Анатольевичу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неосновательного обогащения за пользование земельным участком и процентов за пользование чужими денежными средствами – удовлетворить частично.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Взыскать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Трусова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 w:cs="Times New Roman"/>
          <w:sz w:val="27"/>
          <w:szCs w:val="27"/>
        </w:rPr>
        <w:t>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пользу Администрации города Сургута, ИНН </w:t>
      </w:r>
      <w:r>
        <w:rPr>
          <w:rStyle w:val="cat-PhoneNumbergrp-17rplc-1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неосновательное обогащение за пользование земельным участком с к</w:t>
      </w:r>
      <w:r>
        <w:rPr>
          <w:rFonts w:ascii="Times New Roman" w:eastAsia="Times New Roman" w:hAnsi="Times New Roman" w:cs="Times New Roman"/>
          <w:sz w:val="27"/>
          <w:szCs w:val="27"/>
        </w:rPr>
        <w:t>адастровым номером 86:10:</w:t>
      </w:r>
      <w:r>
        <w:rPr>
          <w:rStyle w:val="cat-PhoneNumbergrp-18rplc-1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:66</w:t>
      </w:r>
      <w:r>
        <w:rPr>
          <w:rFonts w:ascii="Times New Roman" w:eastAsia="Times New Roman" w:hAnsi="Times New Roman" w:cs="Times New Roman"/>
          <w:sz w:val="27"/>
          <w:szCs w:val="27"/>
        </w:rPr>
        <w:t>, месторасположение: Ханты-Мансийский автономный округ-Югра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город Сургут, пр. Мира,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д.3/1, </w:t>
      </w:r>
      <w:r>
        <w:rPr>
          <w:rFonts w:ascii="Times New Roman" w:eastAsia="Times New Roman" w:hAnsi="Times New Roman" w:cs="Times New Roman"/>
          <w:sz w:val="27"/>
          <w:szCs w:val="27"/>
        </w:rPr>
        <w:t>за пери</w:t>
      </w:r>
      <w:r>
        <w:rPr>
          <w:rFonts w:ascii="Times New Roman" w:eastAsia="Times New Roman" w:hAnsi="Times New Roman" w:cs="Times New Roman"/>
          <w:sz w:val="27"/>
          <w:szCs w:val="27"/>
        </w:rPr>
        <w:t>од с 16.09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021 по 31.05.2023 в сумме 8 163 рубля 14 копеек</w:t>
      </w:r>
      <w:r>
        <w:rPr>
          <w:rFonts w:ascii="Times New Roman" w:eastAsia="Times New Roman" w:hAnsi="Times New Roman" w:cs="Times New Roman"/>
          <w:sz w:val="27"/>
          <w:szCs w:val="27"/>
        </w:rPr>
        <w:t>, а также проценты за пользование чужими денежными средствами в размере ключевой ст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вки Банка России от суммы 8 163 рубля 14 копеек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каждый день просрочки с 01.06.2023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день фактической уплаты.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остальной части в удовлетворении исковых требований Администрации города Сургута к </w:t>
      </w:r>
      <w:r>
        <w:rPr>
          <w:rFonts w:ascii="Times New Roman" w:eastAsia="Times New Roman" w:hAnsi="Times New Roman" w:cs="Times New Roman"/>
          <w:sz w:val="27"/>
          <w:szCs w:val="27"/>
        </w:rPr>
        <w:t>Трусову Андрею Анатольевичу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отказать, в связи с пропуском срока исковой давности.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Трусова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 w:cs="Times New Roman"/>
          <w:sz w:val="27"/>
          <w:szCs w:val="27"/>
        </w:rPr>
        <w:t>ндрея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доход местного бюджета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судебные </w:t>
      </w:r>
      <w:r>
        <w:rPr>
          <w:rFonts w:ascii="Times New Roman" w:eastAsia="Times New Roman" w:hAnsi="Times New Roman" w:cs="Times New Roman"/>
          <w:sz w:val="27"/>
          <w:szCs w:val="27"/>
        </w:rPr>
        <w:t>расходы по уплате государстве</w:t>
      </w:r>
      <w:r>
        <w:rPr>
          <w:rFonts w:ascii="Times New Roman" w:eastAsia="Times New Roman" w:hAnsi="Times New Roman" w:cs="Times New Roman"/>
          <w:sz w:val="27"/>
          <w:szCs w:val="27"/>
        </w:rPr>
        <w:t>нной пошлины в размере 4 000 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7"/>
          <w:szCs w:val="27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2-5909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ExternalSystemDefinedgrp-19rplc-10">
    <w:name w:val="cat-ExternalSystemDefined grp-19 rplc-10"/>
    <w:basedOn w:val="DefaultParagraphFont"/>
  </w:style>
  <w:style w:type="character" w:customStyle="1" w:styleId="cat-ExternalSystemDefinedgrp-20rplc-11">
    <w:name w:val="cat-ExternalSystemDefined grp-20 rplc-11"/>
    <w:basedOn w:val="DefaultParagraphFont"/>
  </w:style>
  <w:style w:type="character" w:customStyle="1" w:styleId="cat-PhoneNumbergrp-17rplc-13">
    <w:name w:val="cat-PhoneNumber grp-17 rplc-13"/>
    <w:basedOn w:val="DefaultParagraphFont"/>
  </w:style>
  <w:style w:type="character" w:customStyle="1" w:styleId="cat-PhoneNumbergrp-18rplc-14">
    <w:name w:val="cat-PhoneNumber grp-18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